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 Value Office charter</w:t>
      </w:r>
    </w:p>
    <w:p>
      <w:r>
        <w:rPr>
          <w:i/>
        </w:rPr>
        <w:t>Template, version 0.5 (2026-10-08). Replace [bracketed] text. Role definitions follow the federated model in the AI Economics Hub article Who owns AI economics.</w:t>
      </w:r>
    </w:p>
    <w:p>
      <w:pPr>
        <w:pStyle w:val="Heading1"/>
      </w:pPr>
      <w:r>
        <w:t>1. Purpose</w:t>
      </w:r>
    </w:p>
    <w:p>
      <w:r>
        <w:t>The AI Value Office maintains the management system that connects [organisation]'s AI costs, outcomes, evidence, governance and allocation decisions. It provides one decision-ready view of AI investment and strengthens the organisation's ability to prove, improve and govern value.</w:t>
      </w:r>
    </w:p>
    <w:p>
      <w:pPr>
        <w:pStyle w:val="Heading1"/>
      </w:pPr>
      <w:r>
        <w:t>2. Scope</w:t>
      </w:r>
    </w:p>
    <w:p>
      <w:r>
        <w:t>In scope: [AI initiatives above the materiality threshold of £[ ], all agentic systems, and all AI spend held by [functions]]. Out of scope: [ ]. The office does not own business outcomes, platform operation or risk policy.</w:t>
      </w:r>
    </w:p>
    <w:p>
      <w:pPr>
        <w:pStyle w:val="Heading1"/>
      </w:pPr>
      <w:r>
        <w:t>3. Responsibilities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Area</w:t>
            </w:r>
          </w:p>
        </w:tc>
        <w:tc>
          <w:tcPr>
            <w:tcW w:type="dxa" w:w="4320"/>
          </w:tcPr>
          <w:p>
            <w:r>
              <w:t>The office will</w:t>
            </w:r>
          </w:p>
        </w:tc>
      </w:tr>
      <w:tr>
        <w:tc>
          <w:tcPr>
            <w:tcW w:type="dxa" w:w="4320"/>
          </w:tcPr>
          <w:p>
            <w:r>
              <w:t>Portfolio</w:t>
            </w:r>
          </w:p>
        </w:tc>
        <w:tc>
          <w:tcPr>
            <w:tcW w:type="dxa" w:w="4320"/>
          </w:tcPr>
          <w:p>
            <w:r>
              <w:t>Maintain the inventory, lifecycle status and decision history.</w:t>
            </w:r>
          </w:p>
        </w:tc>
      </w:tr>
      <w:tr>
        <w:tc>
          <w:tcPr>
            <w:tcW w:type="dxa" w:w="4320"/>
          </w:tcPr>
          <w:p>
            <w:r>
              <w:t>Economics</w:t>
            </w:r>
          </w:p>
        </w:tc>
        <w:tc>
          <w:tcPr>
            <w:tcW w:type="dxa" w:w="4320"/>
          </w:tcPr>
          <w:p>
            <w:r>
              <w:t>Coordinate fully loaded cost views, value classification and forecast variance.</w:t>
            </w:r>
          </w:p>
        </w:tc>
      </w:tr>
      <w:tr>
        <w:tc>
          <w:tcPr>
            <w:tcW w:type="dxa" w:w="4320"/>
          </w:tcPr>
          <w:p>
            <w:r>
              <w:t>Evidence</w:t>
            </w:r>
          </w:p>
        </w:tc>
        <w:tc>
          <w:tcPr>
            <w:tcW w:type="dxa" w:w="4320"/>
          </w:tcPr>
          <w:p>
            <w:r>
              <w:t>Maintain the AI Value Ledger and the evidence standard.</w:t>
            </w:r>
          </w:p>
        </w:tc>
      </w:tr>
      <w:tr>
        <w:tc>
          <w:tcPr>
            <w:tcW w:type="dxa" w:w="4320"/>
          </w:tcPr>
          <w:p>
            <w:r>
              <w:t>Governance</w:t>
            </w:r>
          </w:p>
        </w:tc>
        <w:tc>
          <w:tcPr>
            <w:tcW w:type="dxa" w:w="4320"/>
          </w:tcPr>
          <w:p>
            <w:r>
              <w:t>Coordinate review cadence, exceptions, escalation and execution of decisions.</w:t>
            </w:r>
          </w:p>
        </w:tc>
      </w:tr>
      <w:tr>
        <w:tc>
          <w:tcPr>
            <w:tcW w:type="dxa" w:w="4320"/>
          </w:tcPr>
          <w:p>
            <w:r>
              <w:t>Reporting</w:t>
            </w:r>
          </w:p>
        </w:tc>
        <w:tc>
          <w:tcPr>
            <w:tcW w:type="dxa" w:w="4320"/>
          </w:tcPr>
          <w:p>
            <w:r>
              <w:t>Produce executive, board and audit views.</w:t>
            </w:r>
          </w:p>
        </w:tc>
      </w:tr>
    </w:tbl>
    <w:p/>
    <w:p>
      <w:pPr>
        <w:pStyle w:val="Heading1"/>
      </w:pPr>
      <w:r>
        <w:t>4. Roles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Role</w:t>
            </w:r>
          </w:p>
        </w:tc>
        <w:tc>
          <w:tcPr>
            <w:tcW w:type="dxa" w:w="2880"/>
          </w:tcPr>
          <w:p>
            <w:r>
              <w:t>Named holder</w:t>
            </w:r>
          </w:p>
        </w:tc>
        <w:tc>
          <w:tcPr>
            <w:tcW w:type="dxa" w:w="2880"/>
          </w:tcPr>
          <w:p>
            <w:r>
              <w:t>Time committed</w:t>
            </w:r>
          </w:p>
        </w:tc>
      </w:tr>
      <w:tr>
        <w:tc>
          <w:tcPr>
            <w:tcW w:type="dxa" w:w="2880"/>
          </w:tcPr>
          <w:p>
            <w:r>
              <w:t>Executive sponsor</w:t>
            </w:r>
          </w:p>
        </w:tc>
        <w:tc>
          <w:tcPr>
            <w:tcW w:type="dxa" w:w="2880"/>
          </w:tcPr>
          <w:p>
            <w:r>
              <w:t>[ ]</w:t>
            </w:r>
          </w:p>
        </w:tc>
        <w:tc>
          <w:tcPr>
            <w:tcW w:type="dxa" w:w="2880"/>
          </w:tcPr>
          <w:p>
            <w:r>
              <w:t>[ ]</w:t>
            </w:r>
          </w:p>
        </w:tc>
      </w:tr>
      <w:tr>
        <w:tc>
          <w:tcPr>
            <w:tcW w:type="dxa" w:w="2880"/>
          </w:tcPr>
          <w:p>
            <w:r>
              <w:t>AI value lead</w:t>
            </w:r>
          </w:p>
        </w:tc>
        <w:tc>
          <w:tcPr>
            <w:tcW w:type="dxa" w:w="2880"/>
          </w:tcPr>
          <w:p>
            <w:r>
              <w:t>[ ]</w:t>
            </w:r>
          </w:p>
        </w:tc>
        <w:tc>
          <w:tcPr>
            <w:tcW w:type="dxa" w:w="2880"/>
          </w:tcPr>
          <w:p>
            <w:r>
              <w:t>[ ]</w:t>
            </w:r>
          </w:p>
        </w:tc>
      </w:tr>
      <w:tr>
        <w:tc>
          <w:tcPr>
            <w:tcW w:type="dxa" w:w="2880"/>
          </w:tcPr>
          <w:p>
            <w:r>
              <w:t>Finance partner</w:t>
            </w:r>
          </w:p>
        </w:tc>
        <w:tc>
          <w:tcPr>
            <w:tcW w:type="dxa" w:w="2880"/>
          </w:tcPr>
          <w:p>
            <w:r>
              <w:t>[ ]</w:t>
            </w:r>
          </w:p>
        </w:tc>
        <w:tc>
          <w:tcPr>
            <w:tcW w:type="dxa" w:w="2880"/>
          </w:tcPr>
          <w:p>
            <w:r>
              <w:t>[ ]</w:t>
            </w:r>
          </w:p>
        </w:tc>
      </w:tr>
      <w:tr>
        <w:tc>
          <w:tcPr>
            <w:tcW w:type="dxa" w:w="2880"/>
          </w:tcPr>
          <w:p>
            <w:r>
              <w:t>Portfolio analyst</w:t>
            </w:r>
          </w:p>
        </w:tc>
        <w:tc>
          <w:tcPr>
            <w:tcW w:type="dxa" w:w="2880"/>
          </w:tcPr>
          <w:p>
            <w:r>
              <w:t>[ ]</w:t>
            </w:r>
          </w:p>
        </w:tc>
        <w:tc>
          <w:tcPr>
            <w:tcW w:type="dxa" w:w="2880"/>
          </w:tcPr>
          <w:p>
            <w:r>
              <w:t>[ ]</w:t>
            </w:r>
          </w:p>
        </w:tc>
      </w:tr>
      <w:tr>
        <w:tc>
          <w:tcPr>
            <w:tcW w:type="dxa" w:w="2880"/>
          </w:tcPr>
          <w:p>
            <w:r>
              <w:t>Technology or AI platform lead</w:t>
            </w:r>
          </w:p>
        </w:tc>
        <w:tc>
          <w:tcPr>
            <w:tcW w:type="dxa" w:w="2880"/>
          </w:tcPr>
          <w:p>
            <w:r>
              <w:t>[ ]</w:t>
            </w:r>
          </w:p>
        </w:tc>
        <w:tc>
          <w:tcPr>
            <w:tcW w:type="dxa" w:w="2880"/>
          </w:tcPr>
          <w:p>
            <w:r>
              <w:t>[ ]</w:t>
            </w:r>
          </w:p>
        </w:tc>
      </w:tr>
      <w:tr>
        <w:tc>
          <w:tcPr>
            <w:tcW w:type="dxa" w:w="2880"/>
          </w:tcPr>
          <w:p>
            <w:r>
              <w:t>Risk and assurance lead</w:t>
            </w:r>
          </w:p>
        </w:tc>
        <w:tc>
          <w:tcPr>
            <w:tcW w:type="dxa" w:w="2880"/>
          </w:tcPr>
          <w:p>
            <w:r>
              <w:t>[ ]</w:t>
            </w:r>
          </w:p>
        </w:tc>
        <w:tc>
          <w:tcPr>
            <w:tcW w:type="dxa" w:w="2880"/>
          </w:tcPr>
          <w:p>
            <w:r>
              <w:t>[ ]</w:t>
            </w:r>
          </w:p>
        </w:tc>
      </w:tr>
      <w:tr>
        <w:tc>
          <w:tcPr>
            <w:tcW w:type="dxa" w:w="2880"/>
          </w:tcPr>
          <w:p>
            <w:r>
              <w:t>Business outcome owners</w:t>
            </w:r>
          </w:p>
        </w:tc>
        <w:tc>
          <w:tcPr>
            <w:tcW w:type="dxa" w:w="2880"/>
          </w:tcPr>
          <w:p>
            <w:r>
              <w:t>[ ]</w:t>
            </w:r>
          </w:p>
        </w:tc>
        <w:tc>
          <w:tcPr>
            <w:tcW w:type="dxa" w:w="2880"/>
          </w:tcPr>
          <w:p>
            <w:r>
              <w:t>[ ]</w:t>
            </w:r>
          </w:p>
        </w:tc>
      </w:tr>
    </w:tbl>
    <w:p/>
    <w:p>
      <w:pPr>
        <w:pStyle w:val="Heading1"/>
      </w:pPr>
      <w:r>
        <w:t>5. Decision rights</w:t>
      </w:r>
    </w:p>
    <w:p>
      <w:pPr>
        <w:pStyle w:val="ListBullet"/>
      </w:pPr>
      <w:r>
        <w:t>Business owners own outcomes.</w:t>
      </w:r>
    </w:p>
    <w:p>
      <w:pPr>
        <w:pStyle w:val="ListBullet"/>
      </w:pPr>
      <w:r>
        <w:t>Technology owners own platform operation and usage data.</w:t>
      </w:r>
    </w:p>
    <w:p>
      <w:pPr>
        <w:pStyle w:val="ListBullet"/>
      </w:pPr>
      <w:r>
        <w:t>Finance validates economic treatment.</w:t>
      </w:r>
    </w:p>
    <w:p>
      <w:pPr>
        <w:pStyle w:val="ListBullet"/>
      </w:pPr>
      <w:r>
        <w:t>Risk defines proportionate control requirements.</w:t>
      </w:r>
    </w:p>
    <w:p>
      <w:pPr>
        <w:pStyle w:val="ListBullet"/>
      </w:pPr>
      <w:r>
        <w:t>The AI Value Office maintains records and challenges gaps.</w:t>
      </w:r>
    </w:p>
    <w:p>
      <w:pPr>
        <w:pStyle w:val="ListBullet"/>
      </w:pPr>
      <w:r>
        <w:t>Executive leadership owns portfolio allocation.</w:t>
      </w:r>
    </w:p>
    <w:p>
      <w:pPr>
        <w:pStyle w:val="ListBullet"/>
      </w:pPr>
      <w:r>
        <w:t>The board challenges material claims and approves reserved decisions: [list].</w:t>
      </w:r>
    </w:p>
    <w:p>
      <w:r>
        <w:t>For a fuller RACI covering recurring decisions, see Who owns AI economics.</w:t>
      </w:r>
    </w:p>
    <w:p>
      <w:pPr>
        <w:pStyle w:val="Heading1"/>
      </w:pPr>
      <w:r>
        <w:t>6. Operating cadence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When</w:t>
            </w:r>
          </w:p>
        </w:tc>
        <w:tc>
          <w:tcPr>
            <w:tcW w:type="dxa" w:w="4320"/>
          </w:tcPr>
          <w:p>
            <w:r>
              <w:t>What happens</w:t>
            </w:r>
          </w:p>
        </w:tc>
      </w:tr>
      <w:tr>
        <w:tc>
          <w:tcPr>
            <w:tcW w:type="dxa" w:w="4320"/>
          </w:tcPr>
          <w:p>
            <w:r>
              <w:t>Week 1 of the month</w:t>
            </w:r>
          </w:p>
        </w:tc>
        <w:tc>
          <w:tcPr>
            <w:tcW w:type="dxa" w:w="4320"/>
          </w:tcPr>
          <w:p>
            <w:r>
              <w:t>Update costs, consumption and portfolio changes.</w:t>
            </w:r>
          </w:p>
        </w:tc>
      </w:tr>
      <w:tr>
        <w:tc>
          <w:tcPr>
            <w:tcW w:type="dxa" w:w="4320"/>
          </w:tcPr>
          <w:p>
            <w:r>
              <w:t>Week 2</w:t>
            </w:r>
          </w:p>
        </w:tc>
        <w:tc>
          <w:tcPr>
            <w:tcW w:type="dxa" w:w="4320"/>
          </w:tcPr>
          <w:p>
            <w:r>
              <w:t>Update ledgers, evidence and risks.</w:t>
            </w:r>
          </w:p>
        </w:tc>
      </w:tr>
      <w:tr>
        <w:tc>
          <w:tcPr>
            <w:tcW w:type="dxa" w:w="4320"/>
          </w:tcPr>
          <w:p>
            <w:r>
              <w:t>Week 3</w:t>
            </w:r>
          </w:p>
        </w:tc>
        <w:tc>
          <w:tcPr>
            <w:tcW w:type="dxa" w:w="4320"/>
          </w:tcPr>
          <w:p>
            <w:r>
              <w:t>Run initiative and portfolio reviews.</w:t>
            </w:r>
          </w:p>
        </w:tc>
      </w:tr>
      <w:tr>
        <w:tc>
          <w:tcPr>
            <w:tcW w:type="dxa" w:w="4320"/>
          </w:tcPr>
          <w:p>
            <w:r>
              <w:t>Week 4</w:t>
            </w:r>
          </w:p>
        </w:tc>
        <w:tc>
          <w:tcPr>
            <w:tcW w:type="dxa" w:w="4320"/>
          </w:tcPr>
          <w:p>
            <w:r>
              <w:t>Issue management reporting and execute decisions.</w:t>
            </w:r>
          </w:p>
        </w:tc>
      </w:tr>
      <w:tr>
        <w:tc>
          <w:tcPr>
            <w:tcW w:type="dxa" w:w="4320"/>
          </w:tcPr>
          <w:p>
            <w:r>
              <w:t>Quarterly</w:t>
            </w:r>
          </w:p>
        </w:tc>
        <w:tc>
          <w:tcPr>
            <w:tcW w:type="dxa" w:w="4320"/>
          </w:tcPr>
          <w:p>
            <w:r>
              <w:t>Full portfolio review, attribution review, evidence progression, board pack, capital and capacity reallocation, and review of thresholds.</w:t>
            </w:r>
          </w:p>
        </w:tc>
      </w:tr>
    </w:tbl>
    <w:p/>
    <w:p>
      <w:pPr>
        <w:pStyle w:val="Heading1"/>
      </w:pPr>
      <w:r>
        <w:t>7. Steering committee</w:t>
      </w:r>
    </w:p>
    <w:p>
      <w:r>
        <w:t>Members: [ ]. Chair: [ ]. Meets [monthly]. Quorum: [ ]. Escalation route: [ ]. Standing agenda: the eight items on the Agenda sheet of the AI portfolio review pack.</w:t>
      </w:r>
    </w:p>
    <w:p>
      <w:pPr>
        <w:pStyle w:val="Heading1"/>
      </w:pPr>
      <w:r>
        <w:t>8. Measures of success</w:t>
      </w:r>
    </w:p>
    <w:p>
      <w:pPr>
        <w:pStyle w:val="ListBullet"/>
      </w:pPr>
      <w:r>
        <w:t>Share of material AI investment with a named owner, a baseline and an evidence level.</w:t>
      </w:r>
    </w:p>
    <w:p>
      <w:pPr>
        <w:pStyle w:val="ListBullet"/>
      </w:pPr>
      <w:r>
        <w:t>Share of spend at evidence level E2 or above.</w:t>
      </w:r>
    </w:p>
    <w:p>
      <w:pPr>
        <w:pStyle w:val="ListBullet"/>
      </w:pPr>
      <w:r>
        <w:t>Reviews held on time, and decisions executed on time.</w:t>
      </w:r>
    </w:p>
    <w:p>
      <w:pPr>
        <w:pStyle w:val="ListBullet"/>
      </w:pPr>
      <w:r>
        <w:t>Capital and capacity released through stops and redesigns.</w:t>
      </w:r>
    </w:p>
    <w:p>
      <w:pPr>
        <w:pStyle w:val="Heading1"/>
      </w:pPr>
      <w:r>
        <w:t>9. Review of this charter</w:t>
      </w:r>
    </w:p>
    <w:p>
      <w:r>
        <w:t>Reviewed every [12] months, or sooner if the scope, thresholds or decision rights change. Approved by [ ] on [date].</w:t>
      </w:r>
    </w:p>
    <w:p>
      <w:pPr>
        <w:pStyle w:val="Heading1"/>
      </w:pPr>
      <w:r>
        <w:t>Version and change history</w:t>
      </w:r>
    </w:p>
    <w:p>
      <w:r>
        <w:t>0.5 (2026-10-08): first release.</w:t>
      </w:r>
    </w:p>
    <w:p>
      <w:r>
        <w:t>A proposal from AI Economics Hub, not a standard. Free to use. Square brackets mark text to replace. Any worked figures are invented.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